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vibrations de torsion du groupe motopropulseur des camions snvi sonacome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Boukabache; Mohamed/ Université Houari Boumediene/ Gantchev, 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vibrations/ torsion/ motopropulseur/ camions/ </w:t>
            </w:r>
          </w:p>
        </w:tc>
      </w:tr>
    </w:tbl>
    <w:p>
      <w:pPr>
        <w:pStyle w:val="Heading3"/>
      </w:pPr>
      <w:r>
        <w:t>Résumé :</w:t>
      </w:r>
    </w:p>
    <w:p>
      <w:r>
        <w:t>L'analyse numérique a montré que lors des régimes normaux, mis à part le couple m9 qui agit sur l'arbre de transmission, les autres charges dynamiques sont cohérentes les valeurs admissibles des éléments de la transmission.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