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de l'usinabilite des aciers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Khechana; Mohamed/ Université Badji Mokhtar/ Boulanouar,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determination/ usinabilité/ aciers/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Bien que l'étude de l'usinabilité est très vaste , vu sa complexité , nous avons pu l'éclaircir en abordant les points essentiels . après une recherche bibliographique , nous sommes arrivésà définir et à décrire les méthodes et les critères évaluant l'usinabilité des aciers </w:t>
        <w:br/>
        <w:br/>
        <w:t xml:space="preserve">nous avons trouvé que les méthodes se répartissent en deux types, accélérées : qui sont moins précises et ne donnent qu'une information préalable sur l'usinabilité , elles sont </w:t>
        <w:br/>
        <w:br/>
        <w:t xml:space="preserve">utilisables lors de la réception des matériaux . les méthodes classiques (longue durée) malgré qu'elles sont onéreuses donnent des résultats. très précis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