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electroniques et optiques de l\'alliage quaternaire GaxIn1-xAsyP1-y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khadidja; Benkabou / Benyoucef , B./ Université Djillali Liabes /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Sidi Bel Abbes</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électronique/ optique/ </w:t>
            </w:r>
          </w:p>
        </w:tc>
      </w:tr>
    </w:tbl>
    <w:p>
      <w:pPr>
        <w:pStyle w:val="Heading3"/>
      </w:pPr>
      <w:r>
        <w:t>Résumé :</w:t>
      </w:r>
    </w:p>
    <w:p>
      <w:r>
        <w:t>l'alliage quaternaire ga, ith as, pi-y, qui est un composé de la famille iii/v à un gap étroit (0.75-1.35) ev, s'est révélé tout au long de notre étude être un composé très adapté pour la réalisation des dispositifs optoélectroniques.  la méthode de calcul utilisée c'est-à-dire le pseudopotentiel empirique couplé avec l'approximation du cristal virtuel, a feit preuve d'une compétence particulière pour l'estimation du gap directe (chapitre vi partie (1)). en effet, nous avons pu montrer dans cette partie qu'en tenant compte, dans les calculs, du désordre compositionnel tout en négligeant les effets de relaxation et d'interaction entre anion-cation nous obtenons de très bons résultats. ceci a été parfaitement vérifié par une comparaison avec les valeurs expérimentales. les autres propriétés électroniques obtenues sont en parfait accord avec les prédictions théoriques et expérimentales.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