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Electrodeposition d'alliages Zn-Ni  Effet d'un champ magnetique sur leurs compositions et proprietes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Chouchane; Sabiha/ Rabah, Rehamnia/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champ magnétique/ magnéto-induite/ bain de sulfate/ </w:t>
            </w:r>
          </w:p>
        </w:tc>
      </w:tr>
    </w:tbl>
    <w:p>
      <w:pPr>
        <w:pStyle w:val="Heading3"/>
      </w:pPr>
      <w:r>
        <w:t>Résumé :</w:t>
      </w:r>
    </w:p>
    <w:p>
      <w:r>
        <w:t>l'analyse de la marphologie ne présente pas des modifications apparentes, de même pour la composition chimique quelque soit la concentration et quelque soit le champ appliqué. C'est la composition de phase qui donne dans ce cas aussi des changements très importants. Ces modifications produites au niveau de dépôts se répecutent de même sur les dépôts élaborés sous champ intense dans un milieu corrosif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