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étude des propriétés structurales et magnétiques d’alliages Fe-Co-Ni nanostructurés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Beldjehem; Meriem/ Université Badji Mokhtar/ Bensebaa, Nadia/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broyage mécanique haute énergie/ nanomatériaux/ mesures magnétiques/ </w:t>
            </w:r>
          </w:p>
        </w:tc>
      </w:tr>
    </w:tbl>
    <w:p>
      <w:pPr>
        <w:pStyle w:val="Heading3"/>
      </w:pPr>
      <w:r>
        <w:t>Résumé :</w:t>
      </w:r>
    </w:p>
    <w:p>
      <w:r>
        <w:t>Ce travail concerne l'étude des propriétés structurales, microstructurales et magnétiques des mélanges de poudres Fe50Co47,5Ni2,5 et Fe47,5Co50Ni2,5, préparés par broyage mécanique haute énergie à partir de poudres élémentaires pures dans un broyeur planétaire de type Fritsch P7. La caractérisation des poudres obtenues a été réalisée à l'aide de  ifférentes techniques. Les changements morphologiques, microstructuraux et structuraux ont été suivis en fonction des différents temps de broyage (1h, 3h, 6h, 12h, 24h et 48h) par microscopie électronique à balayage et diffraction des rayons X, en utilisant le programme d'affinement "MAUD" basé sur la méthode de Rietveld. Les propriétés hyperfines, magnétiques et thermiques ont été étudiées par spectrométrie M?ssbauer, magnétomètres et analyse calorimétrique différentielle programmée,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