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paramètres d'assurance de qualité du traitement du col uterin par radiotherapie  externe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Khoudri; Saad/ Université Badji Mokhtar/ Bouzid, Samia/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contrôle de qualité/ audit des faisceaux/ évaluation des perfomances du TPS/ </w:t>
            </w:r>
          </w:p>
        </w:tc>
      </w:tr>
    </w:tbl>
    <w:p>
      <w:pPr>
        <w:pStyle w:val="Heading3"/>
      </w:pPr>
      <w:r>
        <w:t>Résumé :</w:t>
      </w:r>
    </w:p>
    <w:p>
      <w:r>
        <w:t>Le cancer du col utérin est l'une des pathologies les plus fréquentes chez la femme. L'issue positive du traitement des tumeurs du col utérin par radiothérapie externe est conditionné par le degré d'exactitude de la dose délivrée au volume cible qui doit être connue avec une précision de +-5% , si une telle limite se trouve non respectée des complications ou récidives peuvent apparaître.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