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Usinabilité de l'acier c18 lors des opérations de percage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Mokas; Nacer/ Boulanouar, Lakhdar/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forêt/ usinabilité/ perçage/ acier rapide/ </w:t>
            </w:r>
          </w:p>
        </w:tc>
      </w:tr>
    </w:tbl>
    <w:p>
      <w:pPr>
        <w:pStyle w:val="Heading3"/>
      </w:pPr>
      <w:r>
        <w:t>Résumé :</w:t>
      </w:r>
    </w:p>
    <w:p>
      <w:r>
        <w:t xml:space="preserve">L'objectif de cette étude est la détermination de l'unsinabilité de l'acier c18 lors des opérations de percage pour atteindre cette objectif deux séries d'essais de longue durée on été réalisés avec des forets hélicoidaux en acier rapide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