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Aide a la gestion de la programmation des interventions cas de la maintenance aprés vente automobile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Khader; Med lamine/ Mekhilef, S/ </w:t>
            </w:r>
          </w:p>
        </w:tc>
      </w:tr>
      <w:tr>
        <w:trPr>
          <w:trHeight w:val="567"/>
        </w:trPr>
        <w:tc>
          <w:tcPr>
            <w:tcW w:type="dxa" w:w="3000"/>
          </w:tcPr>
          <w:p>
            <w:r>
              <w:t>Nombre de Pages</w:t>
            </w:r>
          </w:p>
        </w:tc>
        <w:tc>
          <w:tcPr>
            <w:tcW w:type="dxa" w:w="7000"/>
          </w:tcPr>
          <w:p>
            <w:r>
              <w:t>66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physiques/ planification et de gestion/ outamobile sont les suivants/ </w:t>
            </w:r>
          </w:p>
        </w:tc>
      </w:tr>
    </w:tbl>
    <w:p>
      <w:pPr>
        <w:pStyle w:val="Heading3"/>
      </w:pPr>
      <w:r>
        <w:t>Résumé :</w:t>
      </w:r>
    </w:p>
    <w:p>
      <w:r>
        <w:t xml:space="preserve">Dans ce mémoire nous nous intéressons ou probléme de la gestion de la programmation des interventions dans les ateliers de maintenance autamobile aprés avair présenté une étude bibligraphique et les perspective concernant ce théme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