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differnts pesticides non polluants sur le developpement de blattella germanica (dictyopterablattellidae): aspects toxicologiques, physiologiques et biochimiques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Nedjoua-maiza; Amel/ Soltani, N/ Université Badji Mokhtar/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reproduction/ Pesticides/ toxicité/ spinosad/ blattes/ Blattellagermanica/ biomarqueurs/ indoxacarbe/ </w:t>
            </w:r>
          </w:p>
        </w:tc>
      </w:tr>
    </w:tbl>
    <w:p>
      <w:pPr>
        <w:pStyle w:val="Heading3"/>
      </w:pPr>
      <w:r>
        <w:t>Résumé :</w:t>
      </w:r>
    </w:p>
    <w:p>
      <w:r>
        <w:t>Deux pesticides non polluants, le spinosad, pesticide naturel, (Spinosyne) et l’indoxacarbe, insecticide chimique (Oxadiazine) sont testées par application topique, le jour de l’exuviation des adultesde Blattellagermanica(Dictyoptera),blatte la plus communément associée à l’Homme. Les deux molécules ont été évaluées sur la reproduction et différents marqueurs biochimiques après une étude préalable de toxicité pour la détermination des doses létales. Toxicité : Les doses létales, déterminées après différents temps de traitement des adultes mâles et femelles (séparément) le jour de l’exuviation, indiquent que l’indoxacarbe est plus actif que le spinosad. En effet, les DL50 et DL90, après 144h de traitement, sont de 429 et 1539 ng/insecte pour le spinosad et de 51 et 87 ng/insecte pour l’indoxacarbe. Par ailleurs, les divers temps létaux ont été également précisés pour les diverses doses. L’étude sur la toxicité ne révèle aucune différence significative entre les sexes. Reproduction : les effets des deux molécules ont été étudiés, à différents âges de la vie adulte (0, 2, 4 et 6 jours), sur la morphométrie (nombre d’ovocytes par paire d’ovaires et taille de l’ovocyte basal), la biochimie de l’ovaire (contenus en protéines, glucides et lipidesmais aussi, le potentiel reproducteur (durée de la période de pré-oviposition, période d’incubation, nombre d’œufs pondus et pourcentage d’éclosion). Le spinosadet l’indoxacarbe, aux deux doses testées, réduisent de manière significative et avec un effet dose-dépendant, le nombre d’ovocytes, la taille de l’ovocyte basal, le contenu en différents métabolites ovariens et ce, aux différents âges. Ces résultats indiquent donc que le spinosad et l’indoxacarbe semblent perturber l’ovogénèse et la vitellogénèse. Le potentiel reproducteur est également affecté avec une relation dose-réponse par ces molécules ; en effet, il est noté, une prolongation de la période de préovipositon, une diminution du nombre d’œufs pondus et du pourcentage d’éclosion. L’indoxacarbe montre un effet plus drastique que le spinosad. Biomarqueurs enzymatiques : le spinosad et l’indoxacarbe entraînent un stress chimique de par l’augmentation significative de l’activité spécifique de la LDH. Une induction du système de détoxication est également observée du fait de l’augmentation de l’activité spécifique des GSTs qui est notée; cet effet est corrélé avec le stress oxydatif démontré par la diminution du taux de GSH. L’inhibition significative d’un marqueur de neurotoxicité ou AChEsuppose une action indirecte du spinosad et de l’indoxacarbe sur ce site non cible. Un effet dose-dépendant est noté pour les deux pesticides et pour tous les biomarqueurs considérés. La mesure de ces différents biomarqueurs confirme la toxicité plus forte de l’indoxacarbe par rapport au spinosad.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