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l'anisotropie du ferrite GRENTA de dysprosium (Dy3Fe5O12) par mesures d'aimantation sous champs magnetiques intenses (130 kOe)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Bouguerra; Abdesselam / Université Badji Mokhtar/ Boufelfel,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Transitions de phases/ ferrite grenat de dysprosium/ champs magnétique intenses / </w:t>
            </w:r>
          </w:p>
        </w:tc>
      </w:tr>
    </w:tbl>
    <w:p>
      <w:pPr>
        <w:pStyle w:val="Heading3"/>
      </w:pPr>
      <w:r>
        <w:t>Résumé :</w:t>
      </w:r>
    </w:p>
    <w:p>
      <w:r>
        <w:t>Dans ce ménoire nous nous sonnes consacrés l'étude expérimentale par mesures d'aimantation du comportement magnétique du ferrite grenat de Dysprosium monocristallin (Dy3Fe3O12) appliquant un champ nagnétique statique intense (80k0e selon les directions cristallographiques &lt;111&gt; et et en 160k0e) &lt;100&gt; puis en laissant la sphère libre de s'orienter dans la direction du champ, dans l'intervalle de tempértaure (1,5K&lt;T&lt;300K).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