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gambusia affinis (poisson, téléostéen) et donax trunculus (mollusque, pélécypode) : écologie, physiologie et impacts de quelques alteragènes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N/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écologie/ pollution/ biochimie/ écotoxicologie/ diflubenzuron/ donax trunculus/ insecticide/ annaba/ biomarqueurs/ gambusia affinis/ éléments traces/ </w:t>
            </w:r>
          </w:p>
        </w:tc>
      </w:tr>
    </w:tbl>
    <w:p>
      <w:pPr>
        <w:pStyle w:val="Heading3"/>
      </w:pPr>
      <w:r>
        <w:t>Résumé :</w:t>
      </w:r>
    </w:p>
    <w:p>
      <w:r>
        <w:t>L'étude menée comporte deux principales parties. la première est consacrée à l'évaluation de l'impact du dimilin (25% pm), une formulation commerciale du diflubenzuron (dfb), sur la croissance, le métabolisme et les activités enzymatiques d'un poisson larvivore de moustiques gambusia affinis (baird &amp; girard, 1853) (cyprinodontiformes, poeciliidae). la seconde partie traite la structure de la population, l'impact de la pollution sur la composition biochimique et les activités enzymatiques chez un organisme sentinelle donax trunculus (linnaeus, 1758) (bivalvia, donacidae) du golfe d'annaba.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