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Synthese d'oxazolidines chirales a partie d'ethanolamines chirales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Dali; Mounira/ Université Badji Mokhtar/ Boukhari,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aminoalcool/ oxazolidine / chiral/ </w:t>
            </w:r>
          </w:p>
        </w:tc>
      </w:tr>
    </w:tbl>
    <w:p>
      <w:pPr>
        <w:pStyle w:val="Heading3"/>
      </w:pPr>
      <w:r>
        <w:t>Résumé :</w:t>
      </w:r>
    </w:p>
    <w:p>
      <w:r>
        <w:t>La condensation des aldéhydes aromatiques para substitués sur les 1,2 aminoalcools secondaires, en l'occurence la (L) -prolinol, nous fournit les 1,3 oxazolidines ( proinsecticides potentiels)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