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inhibiteur de la synthèse de la chitine, le novaluron, sur le développement et la croissance d'un crustacé: palaemon adspersus.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Benradia; Benradia/ Université Badji Mokhtar/ Benoubal-Berghiche, Hinda/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palaemon adspersus/ pollution/ cuticule/ lagune el-mellah/ chitine/ biomarqueurs/ novaluron/ </w:t>
            </w:r>
          </w:p>
        </w:tc>
      </w:tr>
    </w:tbl>
    <w:p>
      <w:pPr>
        <w:pStyle w:val="Heading3"/>
      </w:pPr>
      <w:r>
        <w:t>Résumé :</w:t>
      </w:r>
    </w:p>
    <w:p>
      <w:r>
        <w:t>La présente étude s'inscrit dans le cadre du projet de recherche du laboratoire de biologie animale appliquée (2011-2015) "biosurveillance de l'environnement: bioactivité des xénobiotiques et évaluation des risques". a cet effet, nous avons utilisé la crevette palaemon adspersus rathke, 1837 (crustacea, decapoda) comme une espèce modèle. d'une part pour la détermination de la qualité des eaux du site d'échantillonnage (la lagune elmellah, el-kala, algérie), et d'autre part pour l'évaluation de l'impact d'un insecticide de la classe des benzoylurées, le novaluron, sur cette espèce non visée.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