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de l'environnement aquatique cas de la région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Chini; Zine Labidine/ Institut National Des Sciences Appliquées De lyon / Ali Mokhnache.S/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sol/ géostatistique/ nappe/ vulnérabilité intrinsèque/ </w:t>
            </w:r>
          </w:p>
        </w:tc>
      </w:tr>
    </w:tbl>
    <w:p>
      <w:pPr>
        <w:pStyle w:val="Heading3"/>
      </w:pPr>
      <w:r>
        <w:t>Résumé :</w:t>
      </w:r>
    </w:p>
    <w:p>
      <w:r>
        <w:t>L’objectif principal de cette étude est d’évaluer de quelle façon la vulnérabilité intrinsèque permet de prévoir le transfert d’un contaminant provenant de la surface du sol vers l’eau souterraine. Cette évaluation ce base sur dix (10) critères inhérents aux caractéristiques du sol des zones non saturée et saturée. L’utilisation de la géostatistique (logiciel ISATIS) a permis d’analyser la structure et la variabilité spatiale du coefficient de vulnérabilité intrinsèque. Ce dernier est obtenu par l’addition des notations de chacun de ces dix (10) critères. Une application faite à la nappe superficielle de la plaine Ouest d’El Hadjar; plaine à vocation essentiellement agricole (7980 ha) et entourée par des sources de pollution naturelle « eau saline du lac Fetzara » et anthropiques « industries, décharge, eaux usées,… » ; donne une carte de vulnérabilité que ce distingue par trois types de sensibilités différentes, et pour la totalité de la plaine caractérisé par une sensibilité assez forte et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