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"Comportement des centres colorés dans les fluorines sous l'effet d'irradiations lumineuses intenses. Réalisation d'un laser à centres "F2A dans SrF2: Na." 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Mechernene; Lahcène/ Université Badji Mokhtar/ Chapelle, J,P./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destruction/ régénération/ F2A dans SrF2: Na.+/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du comportement sous pompage lumineux intense des centres "F2" dans les fluorures d'alcalino-terreux dopés au sodium (destruction et régénération). Il débouche sur la réalisation d'un laser pompé par flash utilisant comme matériau actif les centres "F2A" dans SrF2: Na*.</w:t>
        <w:br/>
        <w:br/>
        <w:t>Nous donnons d'abord une description sommaire de la préparation des échantillons et nous présentons les centres colorés essentiels dans CaF2: Na et SrF2: Na ainsi que leurs intertransformations sous l'effet de traitements lumineux et thermiques (chapitre 1). Nous avons fait (chapitre I!) une étude pour contrôler l'efficacité de la régénération par une lampe à mercure des centres "Faa" dans un cristal de CaF2: Na placé dans une cavité optique "tight focusing", pompé à 295 K en pseudo-continu par les rales rouges d'un laser à krypton. Nous avons trouvé que cette régénération est mais efficace, encourageant. nous n'avons pas tenté d'exploiter ce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