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Prédiction des températures d'ébullition et des points d'éclair de différentes classes de solvants relation quantitative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Didi; Mabrouka/ Messadi, Djelloul/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viscosité/ point d'ébullition/ point d'inflammation/ </w:t>
            </w:r>
          </w:p>
        </w:tc>
      </w:tr>
    </w:tbl>
    <w:p>
      <w:pPr>
        <w:pStyle w:val="Heading3"/>
      </w:pPr>
      <w:r>
        <w:t>Résumé :</w:t>
      </w:r>
    </w:p>
    <w:p>
      <w:r>
        <w:t>La méthode QSPR a été appliquée aux points de scintillation et aux points d'ébullition d'un groupe de solvants appartenant à différentes sections, sur la base du modèle de régression linéaire multiple (RLM) et de la méthode de la machine à vecteurs de support (SVM).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