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nouveaux n-acylsulfonamides sulfonylurées et sulfonylcyclourées. Evaluation anticancéreuse et antibactérienne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Cheloufi; Hadjer/ Berredjm, Malika/ Institut National Des Sciences Appliquées De lyon /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moutarde à l'azote/ carbamoylation/ sulfamoylation/ </w:t>
            </w:r>
          </w:p>
        </w:tc>
      </w:tr>
    </w:tbl>
    <w:p>
      <w:pPr>
        <w:pStyle w:val="Heading3"/>
      </w:pPr>
      <w:r>
        <w:t>Résumé :</w:t>
      </w:r>
    </w:p>
    <w:p>
      <w:r>
        <w:t>Les sulfonylurées et sulfonylcylourées ont maintenu une place importante en chimie médical depuis la découverte de leurs activités biologiques.Elles possèdent des activités herbicides, antimycotiques, anticancéreuses et ce sont des composés d'usage agricole croissant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