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Recherches sur la variabilité phénotypique des populations de cepaea nemoralis L. et cepaea hortensis M. gastéropodes pulmonés de normandie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Khemic; Elyess/ Université Pierre Et Marie Curie/ Dattee, Y/ </w:t>
            </w:r>
          </w:p>
        </w:tc>
      </w:tr>
      <w:tr>
        <w:trPr>
          <w:trHeight w:val="567"/>
        </w:trPr>
        <w:tc>
          <w:tcPr>
            <w:tcW w:type="dxa" w:w="3000"/>
          </w:tcPr>
          <w:p>
            <w:r>
              <w:t>Nombre de Pages</w:t>
            </w:r>
          </w:p>
        </w:tc>
        <w:tc>
          <w:tcPr>
            <w:tcW w:type="dxa" w:w="7000"/>
          </w:tcPr>
          <w:p>
            <w:r>
              <w:t>121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Paris</w:t>
            </w:r>
          </w:p>
        </w:tc>
      </w:tr>
      <w:tr>
        <w:trPr>
          <w:trHeight w:val="567"/>
        </w:trPr>
        <w:tc>
          <w:tcPr>
            <w:tcW w:type="dxa" w:w="3000"/>
          </w:tcPr>
          <w:p>
            <w:r>
              <w:t>Année de Soutenance</w:t>
            </w:r>
          </w:p>
        </w:tc>
        <w:tc>
          <w:tcPr>
            <w:tcW w:type="dxa" w:w="7000"/>
          </w:tcPr>
          <w:p>
            <w:r>
              <w:t>1987</w:t>
            </w:r>
          </w:p>
        </w:tc>
      </w:tr>
      <w:tr>
        <w:trPr>
          <w:trHeight w:val="567"/>
        </w:trPr>
        <w:tc>
          <w:tcPr>
            <w:tcW w:type="dxa" w:w="3000"/>
          </w:tcPr>
          <w:p>
            <w:r>
              <w:t>Sujet(s)</w:t>
            </w:r>
          </w:p>
        </w:tc>
        <w:tc>
          <w:tcPr>
            <w:tcW w:type="dxa" w:w="7000"/>
          </w:tcPr>
          <w:p>
            <w:r>
              <w:t xml:space="preserve">phénotypique/ gastéropodes/ </w:t>
            </w:r>
          </w:p>
        </w:tc>
      </w:tr>
    </w:tbl>
    <w:p>
      <w:pPr>
        <w:pStyle w:val="Heading3"/>
      </w:pPr>
      <w:r>
        <w:t>Résumé :</w:t>
      </w:r>
    </w:p>
    <w:p>
      <w:r>
        <w:t xml:space="preserve">L'aire de répartition des cepaea s'étend de la région méditérrannéenne, limite sud des cepaea, aux pays scandinaves au nord. l'intérêt porté à la normandie a une raison double  d'une part ses caractéristiques climatiques, d'autre part la proximité de la grande-bretagne. il n'y a pas eu d'étude détaillée de populations naturelles soumises à l'influence d'un climat tempéré océanique. hormis la gironde, qui jouit d'un climat océanique chaud et assez humide (lambert, 1980). a l'inverse, un intérêt particulier a été accordé aux populations naturelles soumises à un climat du type méditérrannéen par andré (1973) et par gerdeaux (1975), respectivement en languedoc-roussillon et en provence. par ailleurs la proximité de la grande-bretagne où il est observé une nette sélection visuelle sur les cepaea (cain et sheppard, 1950, 1952, 1953), (sheppard, 1951, 1952), (cain, 1953), (clarke 1962), (cain, currey, arnold et carter, 1964), (arnold, 1966), (carter, 1968), permettra une intéressante comparaison avec les populations naturelles du sud de l'angleterre.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