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étude structurale de différents composés : Protection/Déprotection des N-Boc, N-Cbz, N-Ts et O-Boc dans des conditions éco-environnementales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Cheraiet; Zinelaabidine/ Aouf, N/ Institut National Des Sciences Appliquées De lyon /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hpa/ n-boc/ </w:t>
            </w:r>
          </w:p>
        </w:tc>
      </w:tr>
    </w:tbl>
    <w:p>
      <w:pPr>
        <w:pStyle w:val="Heading3"/>
      </w:pPr>
      <w:r>
        <w:t>Résumé :</w:t>
      </w:r>
    </w:p>
    <w:p>
      <w:r>
        <w:t>Ce chapitre regroupe un aperçu bibliographique détaillé sur la protection/déprotection O-Boc via différents procédés. Nous avons mis au point une nouvelle méthode de protection/déprotection O-Boc des phénols qui semble aisée et performante en comparaison avec les méthodes décrites Les réactions de protection/déprotection O-Boc ont été rendues possibles dans l’eau sans réactifs additionnels et ont permis de montrer que ce système est non seulement très effectif, puisque la plupart des rendements sont quantitatifs, mais qu’il est aussi très sélectif et ne génère pas des produits secondaires.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