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Ecologie du lac des oiseaux  cartographie palynothèque et utilisation de l'espace par l'avifaune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Houhamdi; Moussa/ Université Badji Mokhtar/ Samraoui, B/ </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1998</w:t>
            </w:r>
          </w:p>
        </w:tc>
      </w:tr>
      <w:tr>
        <w:trPr>
          <w:trHeight w:val="567"/>
        </w:trPr>
        <w:tc>
          <w:tcPr>
            <w:tcW w:type="dxa" w:w="3000"/>
          </w:tcPr>
          <w:p>
            <w:r>
              <w:t>Sujet(s)</w:t>
            </w:r>
          </w:p>
        </w:tc>
        <w:tc>
          <w:tcPr>
            <w:tcW w:type="dxa" w:w="7000"/>
          </w:tcPr>
          <w:p>
            <w:r>
              <w:t xml:space="preserve">écologie/ oiseaux/ </w:t>
            </w:r>
          </w:p>
        </w:tc>
      </w:tr>
    </w:tbl>
    <w:p>
      <w:pPr>
        <w:pStyle w:val="Heading3"/>
      </w:pPr>
      <w:r>
        <w:t>Résumé :</w:t>
      </w:r>
    </w:p>
    <w:p>
      <w:r>
        <w:t xml:space="preserve">Une étude de la biodiversité floristique et avifaunistique du lac des oiseaux a été etfectuée pendant une année, du 10/10/ 1996 au 10/10/1997, où nous avons étudié le dynamisme de végétation du lac avec l'établissement de cartes instantanées de la végétation pour chaque saison. la couverture et composition végétale du lac différent d'une saison à une autre, totalisant 185 espèces appartenant à 48 familles dont trois ne sont pas signalé dans la région. asparagus officinalis (liliacées), cyperus aristatus (cyperacées) et corula coronopifolia (composées).dans l'étude pollinique du lac, nous avons comptabilisé 4877 grains de pollen appartenant à plus de 19 familles et 423 spores. les grains de pollen des dicotylédones et des conifères ont surtout été récoltés pendant le printemps tandis que ceux des monocotylédones ont été récoltés à partir de mois de mai. la richesse avifaunistique du lac lui confère le mérite de porter son nom. nous avons recensé 45 espèces d'aiseaux d'eau, dont certains ne sont observés que pour la première fois : le pélican blanc, les tadornes casarca, les huîtriers pie et les harles huppés. les premiers migrateurs d'anatidés et foulques sont observés au lac dés le mois d'août et y demeurent jusqu'à la fin mars. les limicoles, les ardeïdes et les cigognes sont observés dés l'abaissement du niveau d'eau qui leur offre des conditions favorables de leurs alimentations. l'étude du budget temps diurnes de quatre anatidés et foulques nous a montré que l'alimentation est l'activité principale chez les siffleurs et les foulques, le sommeil chez îles sarcelles d'hiver et les fuligules nyroca et une codominance de ces deux activités chez les colverts.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