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et caractérisation moléculaire des agents pathogènes associes aux infections du site opératoire en gynécologie obstétrique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Boutefnouchet; Chahinez/ Université Badji Mokhtar/ Aouras, Hayet/ </w:t>
            </w:r>
          </w:p>
        </w:tc>
      </w:tr>
      <w:tr>
        <w:trPr>
          <w:trHeight w:val="567"/>
        </w:trPr>
        <w:tc>
          <w:tcPr>
            <w:tcW w:type="dxa" w:w="3000"/>
          </w:tcPr>
          <w:p>
            <w:r>
              <w:t>Nombre de Pages</w:t>
            </w:r>
          </w:p>
        </w:tc>
        <w:tc>
          <w:tcPr>
            <w:tcW w:type="dxa" w:w="7000"/>
          </w:tcPr>
          <w:p>
            <w:r>
              <w:t>221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gynécologie obstétrique/ plasmide prum rep17/ iso/ </w:t>
            </w:r>
          </w:p>
        </w:tc>
      </w:tr>
    </w:tbl>
    <w:p>
      <w:pPr>
        <w:pStyle w:val="Heading3"/>
      </w:pPr>
      <w:r>
        <w:t>Résumé :</w:t>
      </w:r>
    </w:p>
    <w:p>
      <w:r>
        <w:t xml:space="preserve">Les infections du site opératoire (ISO) sont l'une des infections associées aux soins de santé les plus courantes dans les pays à revenu faible. Les objectifs de ce travail consistent à estimer l’incidence de survenue des ISO en gynécologie obstétrique, l’identification des agents pathogènes associés et la caractérisation moléculaire de leurs phénotypes de résistance aux antibiotiques. Les patientes ayant subi un acte chirurgical entre janvier 2020 et décembre 2021 au service de gynécologie obstétrique à l'hôpital Abdallah Nouaouria, El Bouni Annaba, ont été incluses. Chaque femme a été suivie pendant 30 jours post-opératoires et les données socio-démographiques ont été recueillies pour définir les différents facteurs de prédilection.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