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réactivité des1.2.5 thiadiazolidine 1,1-dioxides  cyclosulfamides : etude de leurs activités pharmocologiques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Dehamchia, Mohamed/ Universté Badji Mokhtar/ Rega; Zine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de mitsunobu/ Isocyanate de chlorosulfonyl/ </w:t>
            </w:r>
          </w:p>
        </w:tc>
      </w:tr>
    </w:tbl>
    <w:p>
      <w:pPr>
        <w:pStyle w:val="Heading3"/>
      </w:pPr>
      <w:r>
        <w:t>Résumé :</w:t>
      </w:r>
    </w:p>
    <w:p>
      <w:r>
        <w:t>La stratégie envisagée repose sur l'utilisation de l'isocyanate de chlorosulfonyle (ics) plus réactif dans l'insertion du groupement sulfamidique -n-so2-l'aménagement trifonctionnel de l'isocyanate par addition de tert-butanol et une substitution par une amine primaire ou moutarde à l'azote suives d'une alkylation régiospécifique par des halogénoalcools dans les conditions de la réaction de mitsunobu à permis l'obtention de cyclosujfamides (2-boc,5-ajkyj-1 ,2,5-thiadiazolidine-1 ,1dioxides  les cyclosujfamides n-déprotégés, par élimination du groupement boc sont</w:t>
        <w:br/>
        <w:br/>
        <w:t>obtenus avec des rendements quantitatifsl'acyjation régiospécifique des cyclosulfamides n-déprotégés par les agents</w:t>
        <w:br/>
        <w:br/>
        <w:t>acylants a fourni n2-acyl, n5-alkyl-l,2,5-thiadiazolidines 1, l-dioxydeles cycjosulfamides sont transformés en leur forme cyclosuifamides chjorhydrates par l'action d'acides chlorhydrique. ces derniers ont subit des tests bactériostatique et toxicologique sur le métabolisme respiratoire de protiste cilié t etraselmis suecicca. les méthodes spectroscopiques ir, rmn1h, rmnl3c et sm ont été mise en reu\te pour établir les caractéristiques structurales des produits synthétisés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