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des convertisseurs statiques dans une chaine éolienne à base de la GADA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Omeiri, Amar/ Ghoudelbourk; Sihem/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pitch contrôle/ onduleur multiniveaux/ commande mli/ commande svm/ convertisseur matriciel/ régulateur pi flou/ régulateur fractionnaire/ </w:t>
            </w:r>
          </w:p>
        </w:tc>
      </w:tr>
    </w:tbl>
    <w:p>
      <w:pPr>
        <w:pStyle w:val="Heading3"/>
      </w:pPr>
      <w:r>
        <w:t>Résumé :</w:t>
      </w:r>
    </w:p>
    <w:p>
      <w:r>
        <w:t>Dans ce travail nous présentons une contribution à la commande robuste d'une chaine éolienne à base d'une génératrice asynchrone à double alimentation (gada) associée à des convertisseurs statiques qui ont pour objectif d'améliorer la qualité d'énergie délivrée par la gada aux réseaux électriques. les modèles mathématiques de chaque élément de la chaine éolienne du coté turbine sont élaborés et une commande mppt est réalisé pour assurer un pitch contrôle avec des régulateurs fractionnaires (pi? .(un contrôle indirect séparé des puissances active et réactive générées par le stator de la gada est élaboré avec des régulateurs pi-flou. la modélisation, la commande, la régulation et l'analyse des performances d'une éolienne à base de gada alimentée par des convertisseurs statiques sont établies avec des différentes structures tels que :  onduleurs multiniveaux triphasés clampé par le neutre (npc) à commandé en" modulation de largeur d'impulsion (mli) alimenté par un système photovoltaïque (pv).  onduleur multiniveaux triphasé à structure npc à modulation des vecteurs spatiaux" (svm) alimenté par un système pv.  convertisseur matriciel contrôlé par la technique de modulation de la différence des" erreurs entre les valeurs mesurées et les valeurs de sorties désirées (least mean square erreurs lmse). les performances des différentes stratégies de régulation de la gada en utilisant des différentes alimentations par convertisseurs statiques sont évaluées à base d'une analyse spectrale du courant statorique en calculant et comparant les taux de distorsion harmoniques (thd).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