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Apparition et interpretation du maximum d'absorption de liquides definis en contact d'echantillons de puc plastifies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Sallah Eddine/ Institut National Des Sciences Appliquées De lyon / Gheid, A.E.H/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échange de matière/ chimique -mobilité relative/ </w:t>
            </w:r>
          </w:p>
        </w:tc>
      </w:tr>
    </w:tbl>
    <w:p>
      <w:pPr>
        <w:pStyle w:val="Heading3"/>
      </w:pPr>
      <w:r>
        <w:t>Résumé :</w:t>
      </w:r>
    </w:p>
    <w:p>
      <w:r>
        <w:t>la ressortie du liquide a été interprétée en considérant le gradient de potentiel chimique comme force motrice du transfer. D'ailleur ce rétrotransfer dépend de la mobilité relative des deux espèces migrantes ( cas de l'alcool benzylique et d'une huile comestible)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