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au diagnostic de defauts d'une generatrice asynchrone dans une chaine de conversion d' energie eolienne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Issam/ Omeiri, Amar/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during 20 last years/ double fed induction machine/ fast fourier transform / </w:t>
            </w:r>
          </w:p>
        </w:tc>
      </w:tr>
    </w:tbl>
    <w:p>
      <w:pPr>
        <w:pStyle w:val="Heading3"/>
      </w:pPr>
      <w:r>
        <w:t>Résumé :</w:t>
      </w:r>
    </w:p>
    <w:p>
      <w:r>
        <w:t xml:space="preserve">During 20 last years the world tendency to develop renewable energies led to a significant increase in the wind parks however considering the wind turbines are expensive and their reliability is a very important question an increasing demand for profitability reliability and safety in wind turbines which can be subject to failure or malfunction in its time of use time has led to new techniques of condition montoring and control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