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Commande par phaseurs spatiaux d'un moteur synchrone a aimants permanents strategie de controle par modele interne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Saadoun; A/ Université Badji Mokhtar/ Yousfi,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 vectorielle/ modele interne/  permanents strategie/ programmation graphique 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concerne la formulation et le controle par les phaseurs spatiaux de la commande vectorielle d'un moteur synchrone a aimants permanent introduits dans les années cinquante du siècle dernier l'utilité pratique des phaseurs spatiaux ne devint apparente qu'avec l'avènement des dsp grace a leur aptitude de représenter par un vecteur uniqu tout système triphasé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