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Ripostes adaptatives et comportementales dans des conditions aversives et impact du photoperiodisme chez le rat wistar ".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Bakeche;  Amira/ Djouini, Amina/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rat/ comportement/ Stress/ nycthémère/ </w:t>
            </w:r>
          </w:p>
        </w:tc>
      </w:tr>
    </w:tbl>
    <w:p>
      <w:pPr>
        <w:pStyle w:val="Heading3"/>
      </w:pPr>
      <w:r>
        <w:t>Résumé :</w:t>
      </w:r>
    </w:p>
    <w:p>
      <w:r>
        <w:t>" la détection d'une menace par le cerveau " un phénomène qui remonte aussi loin qu'à lapréhistoire, lorsqu'un mammouth pouvait susciter deux réactions chez l'homme : la fuite ou lalutte.</w:t>
        <w:br/>
        <w:br/>
        <w:t>la plupart des travaux relatifs à l'effet d'un stress sur le comportement animal ont été réalisés en</w:t>
        <w:br/>
        <w:br/>
        <w:t>période diurne. rattus rattus de souche wistar, modèle biologique fréquemment utilisé en</w:t>
        <w:br/>
        <w:br/>
        <w:t>expérimentation animale est un rongeur à activité nocturne. il s'agit dans cette étude d'évaluer la</w:t>
        <w:br/>
        <w:br/>
        <w:t>riposte comportementale à un stress de prédation à travers le nycthémère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