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propriétés structurales, électroniques et optiques des composés PbS, PbSe et PbTe par la méthode FP-LAPW</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Boukhris; Nafissa/ Meradji, Hocine/ Université Badji Mokhtar/ </w:t>
            </w:r>
          </w:p>
        </w:tc>
      </w:tr>
      <w:tr>
        <w:trPr>
          <w:trHeight w:val="567"/>
        </w:trPr>
        <w:tc>
          <w:tcPr>
            <w:tcW w:type="dxa" w:w="3000"/>
          </w:tcPr>
          <w:p>
            <w:r>
              <w:t>Nombre de Pages</w:t>
            </w:r>
          </w:p>
        </w:tc>
        <w:tc>
          <w:tcPr>
            <w:tcW w:type="dxa" w:w="7000"/>
          </w:tcPr>
          <w:p>
            <w:r>
              <w:t>91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propriétés structurale/ électroniques et optiques des composés / </w:t>
            </w:r>
          </w:p>
        </w:tc>
      </w:tr>
    </w:tbl>
    <w:p>
      <w:pPr>
        <w:pStyle w:val="Heading3"/>
      </w:pPr>
      <w:r>
        <w:t>Résumé :</w:t>
      </w:r>
    </w:p>
    <w:p>
      <w:r>
        <w:t>Nous avons effectué des calculs ab-initio sur les propriétés structurales, électroniques et optiques des composés PbS, PbSe et PbTe en utilisant la méthode linéaire des ondes planes augmentées et lin?arisées FP-LAPW implémentée par le code Wien 2k</w:t>
        <w:br/>
        <w:br/>
        <w:t>Dans cette approche, l'approximation de la densité locale (LDA) et l'approximation du gradient généralisé (GGA) ont été utilisées pour la détermination du potentiel d'échange et de correlation.</w:t>
        <w:br/>
        <w:br/>
        <w:t>Les trois composés ont été étudiés dans structure NaCL Les paramètres d'équilibre ont été déterminés à savoir : le paramètre du réseau, le module de compressibilité et sa dérivée. Nous avons également étudié les propriétés structurales de ces composés dans la structure CSCL Nos calculs ont montré que la phase NaCl est la plus stable adoptée par ces matériaux. Les matériaux à étudier ont une structure cubique (NaCl), donc ils possèdent trois constantes élastiques indépendantes C1. Ciz et Cu Nous avons calculé ces constantes pour la structure stable NaCL</w:t>
        <w:br/>
        <w:br/>
        <w:t>L'investigation des propriétés électroniques pour ces matériaux montre qu'ils possèdent un gap direct au point L, d'après les profils de densité d'états on distingue trois régions de valence et une région de conduction.</w:t>
        <w:br/>
        <w:br/>
        <w:t>Dans l'étude optique de ces matériaux, et à partir du spectre de la partie imaginaire de la constante diélectrique nous avons pu déceler les différentes transitions interbandes. Ces composés sont réfléchissants dans la région de l'ultra violet, ce qui engendre leur utilité dans les applications technologiques dans ce domaine.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