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acoustiques du germanium amorphe, cristallin et microcristallin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Bouziane; Nabil/ Doghmane, Abdellaziz/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réflexion/ Germanium amorphe/ Germanium cristallin/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nous sommes intéressés à l'étude des propriétés élastiques du germanium sous</w:t>
        <w:br/>
        <w:br/>
        <w:t>différentes formes structurales: amorphe (a-Ge), cristallin (c-Ge) et microcristallin (uc-Ge). Pour le</w:t>
        <w:br/>
        <w:br/>
        <w:t>germanium amorphe obtenus par différentes méthodes de préparation (HWCVD, évaporation et</w:t>
        <w:br/>
        <w:br/>
        <w:t>pulvérisation), les vitesses ainsi que les angles critiques d'excitations des ondes longitudinale</w:t>
        <w:br/>
        <w:br/>
        <w:t>transversal et de Rayleigh ont été déterminées. Ensuite, nous avons étudié l'effet de l'épaisseur de</w:t>
        <w:br/>
        <w:br/>
        <w:t>la couche de a-Ge déposée sur le Si&lt;100&gt;, les courbes de dispersion des différentes structures sont</w:t>
        <w:br/>
        <w:br/>
        <w:t>de type négatif. Pour le c-Ge, les effets de l'anisotropie sur les vitesses acoustiques, les angles</w:t>
        <w:br/>
        <w:br/>
        <w:t>critiques d'excitations de différents modes ont été mis en évidence. Pour le uc-Ge, aussi bien la</w:t>
        <w:br/>
        <w:br/>
        <w:t>période spatiale et la vitesse de Rayleigh que les angles ont été quantifiés. De plus nous avons</w:t>
        <w:br/>
        <w:br/>
        <w:t>complété ce travail par l'investigation de l'influence de l'épaisseur de la couche du c-Ge et uc-Gedéposée sur la silice et le silicium qui a montré une nette diminution de la période spatiale des signatures acoustiques (elle est de l'ordre de 19.34% pour la structure Ge&lt;100&gt;/SiO?). Ainsi, les vitesses subissent une dispersion de type négatif, présentant une décroissance de la valeur de la vitesse à partir de celle du substrat jusqu'à celle de la couche pour les épaisseurs, critiques, élevées. Au-delà de ces épaisseurs ont atteint une saturation des courbes à partir de laquelle on peut déterminer les vitesses de Rayleigh, pour chaque orientation cristallographique du Ge, ainsi pour</w:t>
        <w:br/>
        <w:br/>
        <w:t>chaque forme structurale de germanium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