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structurales et magnétiques des poudres nanostructurées FeSi et FeSiAl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Bensebaa; zohra/ Université Badji Mokhtar/ Bouzabata, Bouguerra/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nanostructure/ magnétique/ structurale/ </w:t>
            </w:r>
          </w:p>
        </w:tc>
      </w:tr>
    </w:tbl>
    <w:p>
      <w:pPr>
        <w:pStyle w:val="Heading3"/>
      </w:pPr>
      <w:r>
        <w:t>Résumé :</w:t>
      </w:r>
    </w:p>
    <w:p>
      <w:r>
        <w:t>Ce travail est consacré à l'étude des propriétés structurales et magnétiques de l'alliage binaires FouSic et de l'alliage ternaire FeSi Alto obtenue par broyage à haute énergie.</w:t>
        <w:br/>
        <w:br/>
        <w:t>L'alliage nanostructuréFeSi a été obtenu à partir des alliages pré alliés FeSi Par contre, l'alliage nanostructuréFeSi Alto a été élaboré par broyage du mélange FeSi pré allié et de l'aluminium. La caractérisation des poudres obtenues a été réalisée par microscopie électronique à balayage (MEB), diffraction de rayons X (DRX) et spectrométrie M?ssbauer.</w:t>
        <w:br/>
        <w:br/>
        <w:t>L'étude par diffraction de rayons X de l'alliage FeSi montre l'existence de deux phases: une phase désordonnée de type CC (A2) et une phase ordonnée de type B2. Par contre dans le système FeSi,Aljo on observe la formation d'une solution solide de type a-Fe (Si,Al), Leur taille des grains obtenus après 10h de broyage est de 11,5 nm et de 13 nm respectivement.</w:t>
        <w:br/>
        <w:br/>
        <w:t>Les spectres M?ssbauer mettent en évidence la présence de deux composantes ferromagnétique (phase A2) et paramagnétique (phase B2). Les distributions des champs hyperfins de la phase ferromagnétique indiquent la présence de 3 types d'environnements du fer. Les champs hyperfins moyens sont trouvés égales à 31.5 T et 30 T pour les alliages FeSi et FeSi Al10 respectivement. L'addition de l'aluminium induit un désordre plus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