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des relations sol vegetation dans les landes d'altitude de la partie orientale des pyrenees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Benabdelmoumene; Mohand Salah/ Universite BADJI / Baudiere, A/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Toulouse</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vegetation/ sol/ contribution/ </w:t>
            </w:r>
          </w:p>
        </w:tc>
      </w:tr>
    </w:tbl>
    <w:p>
      <w:pPr>
        <w:pStyle w:val="Heading3"/>
      </w:pPr>
      <w:r>
        <w:t>Résumé :</w:t>
      </w:r>
    </w:p>
    <w:p>
      <w:r>
        <w:t>Cette matière organique constitue, à elle seule, le sol lorsque le substrat n'est que peu où pas du tout fragmenté. la dynamique de l'eau détermine la morphologie des humus en conditionnant l'activité biologique. cela donne soit des mors inactifs où tout processus de minéralisation est bloqué (cas des sols à hydromorphie quasi permanen| te du tarbezou), soit des mors actifs (cas des sols à imbibition temporaire des combes à neige des autres secteurs), sur les substrats fragmentés, la matière organique se mélange mieux à la composante minérale et la minéralisation se déroule de manière plus gsatigfaisante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