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et la modélisation des phénomènes d'adsorption désorption de composés organiques sur charbon actif en grain en l'absence et en présence d'ultrasons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Oualid/ Université Badji Mokhtar/ Abbessi, M/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adsorption/ cinétique/ traitement de l'eau/ composés organiques/ charbon actif en grain/ </w:t>
            </w:r>
          </w:p>
        </w:tc>
      </w:tr>
    </w:tbl>
    <w:p>
      <w:pPr>
        <w:pStyle w:val="Heading3"/>
      </w:pPr>
      <w:r>
        <w:t>Résumé :</w:t>
      </w:r>
    </w:p>
    <w:p>
      <w:r>
        <w:t>Ce travail a pour objet d'étudier et de modéliser l'adsorption du phénol et des chlorophénols sur charbon actif en grain et de préciser les possibilités d'utiliser les ultrasons pour la désorption de ces composès organiques dans le but de régénérer l'adsorbant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