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 capacité adsorbante de charbons activa issus de noyaux de quelques variétés de dattes applications dans le traitement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Sekirifa; Mohamed Lamine/ Tifouti, Lakhdar/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valorisation/ surface spécifique/ charbons activa/ </w:t>
            </w:r>
          </w:p>
        </w:tc>
      </w:tr>
    </w:tbl>
    <w:p>
      <w:pPr>
        <w:pStyle w:val="Heading3"/>
      </w:pPr>
      <w:r>
        <w:t>Résumé :</w:t>
      </w:r>
    </w:p>
    <w:p>
      <w:r>
        <w:t xml:space="preserve">Le charbon actif sous la forme de grains ou de poudre est depuis longtemps utilisé dans l'industrie du truitement des eaux ou d'air il a fait l'objet de nombreuses études  il permet d'éliminer de nombreux polluants tels que les composés organiques volatils et les métaux dans le cadre de la valorisation des sous produits naturels nous nous sommes intéressés a la caractérisation et a l'étude de l'efficacité d'adsorption du charbon actif issu de noyaux de quelques variétés de dattes de la région de ouargla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