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ressources en eau du bassin versant transfrontalier(medjerda et mellegue) face à la salinisation des eaux générée par la géologie et les changements climatiques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Bouklab; Mohammed/ Bougherira, Nabil/ Université Badji Mokhtar/ </w:t>
            </w:r>
          </w:p>
        </w:tc>
      </w:tr>
      <w:tr>
        <w:trPr>
          <w:trHeight w:val="567"/>
        </w:trPr>
        <w:tc>
          <w:tcPr>
            <w:tcW w:type="dxa" w:w="3000"/>
          </w:tcPr>
          <w:p>
            <w:r>
              <w:t>Nombre de Pages</w:t>
            </w:r>
          </w:p>
        </w:tc>
        <w:tc>
          <w:tcPr>
            <w:tcW w:type="dxa" w:w="7000"/>
          </w:tcPr>
          <w:p>
            <w:r>
              <w:t>226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télédétection/ bassin versant de la medjerda/ analyse morphométrique/ </w:t>
            </w:r>
          </w:p>
        </w:tc>
      </w:tr>
    </w:tbl>
    <w:p>
      <w:pPr>
        <w:pStyle w:val="Heading3"/>
      </w:pPr>
      <w:r>
        <w:t>Résumé :</w:t>
      </w:r>
    </w:p>
    <w:p>
      <w:r>
        <w:t>La gestion durable des ressources en eaux souterraines de plus en plus cruciale dans les politiques publiques et au sein des entreprises, constitue toutefois un défi majeur dans sa concrétisation pratique. La prise de décision en matière de gestion des eaux souterraines nécessite une évaluation approfondie des différents secteurs climatiques, environnementaux et</w:t>
        <w:br/>
        <w:br/>
        <w:t>économiques. La présentation de ces résultats aux décideurs est essentielle pour favoriser des choix éclairés et durables, mettant ainsi en évidence l'importance de l'analyse multicritères dans ce processus décisionnel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