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preparation de polybutadiene equibinaire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Marechal, Jean Charles/ Université de paris/ Champetier, G/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1971</w:t>
            </w:r>
          </w:p>
        </w:tc>
      </w:tr>
      <w:tr>
        <w:trPr>
          <w:trHeight w:val="567"/>
        </w:trPr>
        <w:tc>
          <w:tcPr>
            <w:tcW w:type="dxa" w:w="3000"/>
          </w:tcPr>
          <w:p>
            <w:r>
              <w:t>Sujet(s)</w:t>
            </w:r>
          </w:p>
        </w:tc>
        <w:tc>
          <w:tcPr>
            <w:tcW w:type="dxa" w:w="7000"/>
          </w:tcPr>
          <w:p>
            <w:r>
              <w:t xml:space="preserve"> polybutadiene/ equibinaire/ eparation de polybutadiene/ </w:t>
            </w:r>
          </w:p>
        </w:tc>
      </w:tr>
    </w:tbl>
    <w:p>
      <w:pPr>
        <w:pStyle w:val="Heading3"/>
      </w:pPr>
      <w:r>
        <w:t>Résumé :</w:t>
      </w:r>
    </w:p>
    <w:p>
      <w:r>
        <w:t>Les produits formant le système bimétallique réagissent pour donner un dérivé alcoylé de transition sur lequel viendra se coordiner la molécule d'oléfine le monomére coordiné s'insère dans un complexe de transition entre le groupe alcoyle ou la chaine en croissance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