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pseudoélastique d'un alliage à mémoire de forme TINI équiatomique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Amireche; Radia/ Belkahla, Soliman/ Université Badji Mokhtar/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propriétés mécaniques/ thermomécaniques/ propriétés physiques/ </w:t>
            </w:r>
          </w:p>
        </w:tc>
      </w:tr>
    </w:tbl>
    <w:p>
      <w:pPr>
        <w:pStyle w:val="Heading3"/>
      </w:pPr>
      <w:r>
        <w:t>Résumé :</w:t>
      </w:r>
    </w:p>
    <w:p>
      <w:r>
        <w:t>Les matériaux multifonctionnels sont des matériaux dont les propriétés mécaniques sont couplées à d'autres propriétés physiques, ce qui leur permet de rendre compte de façon indirecte des déformations subies ou à l'inverse d'imposer des efforts par le biais de champs physiques externes éventuellement variables. De tels matériaux combinent ainsi de façon intrinsèque des fonctions de capteur et d'actionneur, ce qui ouvre des perspectives nouvelles pour le suivi et le contrôle de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