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microstructurale et cristallographique  des alliages al -fe- ti elaabores par fusion hf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Bendjeddou; Louiza/ Debili, Mohamed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miocrostructurales/ cristalographisues/ magnétique./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réalisé dans le cadre de cette thèse avait pour objectif essentiel l'étude des propriétés miocrostructurales et cristalographisues des alliages AlxFe1-xTi préparés par fusion à haute fréquence sous induction magnétique.Plusieurs méthodes expérimentales simples mais rigoureuses et adaptées à ce genre de travaux scientifiques ont été utilisés pour suivre les diverses évolution structurales De l'ensemble des compositions étudiées (MEB, DRX, DSC  et Microdureté).Plusieurs caractéristiques structurales ont été mises en évidence, à savoir l'évolution du paramètre cristallin de l'aluminium et de la taille des grains. L'identification de plusieurs phases intermétalliques, dont une famille apparaît sous forme de six variantes, a également été mise en exergue. En outre on a pu retirer plusieurs résultats Qui marquent l'influence d'addition du titane dans l'alliage Al-Fe citons :-Une augmentation du paramètre cristallin a également été observée par augmentation de la teneur en Ti dans AlxFe1-xTi.-Après traitement à 500°C le paramètre cristallin de l'aluminium (solution solide) augmente avec la teneur en fer aussi bien à l'état brut qu'après traitement.-La structure               de solidification était modifiée par l'addition de 2% de titane dans l'alliage Al-Fe.-L'addition de titane est responsable              de l'augmentation de la microdureté entre 26% Fe et 60% Fe.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