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l'etude de l'adsorption du mercure par aspergillus clavatus  biomasse industrielle en vue d'un procédé d'épuration des effluents aqueux contaminés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Boutabia; Trea Saliha/ Kirane, djamila/ Université Badji Mokhtar/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dépollution biologique/ mercure/ sdsorption/ aspergilius cahums/ eaux résidusires/ industries/ </w:t>
            </w:r>
          </w:p>
        </w:tc>
      </w:tr>
    </w:tbl>
    <w:p>
      <w:pPr>
        <w:pStyle w:val="Heading3"/>
      </w:pPr>
      <w:r>
        <w:t>Résumé :</w:t>
      </w:r>
    </w:p>
    <w:p>
      <w:r>
        <w:t xml:space="preserve">Or certains champignons filamenteux faspergillus clavarus  se sont révélés capables d'adsorber une grande partie de se composé. ces champignons constituent des dechets encombrant pour l'environnement suite à leur rejéts à partir des unités de transformation agro-alimentaire. les eaux usées d'orelait, renferme un grand nombre d'espèces fongiques qui peuvent etre utiliser dans ce but. notre choix s'est porté sur 'aspergillus chanatus laquelle fait partie de la mycoflore des ces rejets. les milieux de culture czapek et mbs offre une bonne croissance de l'éspèce fongique aspergillus clavatus. les concentrations de mercure misent dans les deux milieux de cukure à to présente une grande influence sur le taux d'adsorption du mercure par aspegiilus chnatus.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