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risques toxiques des rejets industriels et urbains sur la santé via un indicateur biologique la moule africaine perna perna : utilisation de la méthode caging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Laouati; Imèn/ Ouali, Kheireddine/ Universite BADJI /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biosurveillance/ transplantation/ perna perna/ golfe d'Annaba / biomarqueurs/ éléments traces métalliques/ </w:t>
            </w:r>
          </w:p>
        </w:tc>
      </w:tr>
    </w:tbl>
    <w:p>
      <w:pPr>
        <w:pStyle w:val="Heading3"/>
      </w:pPr>
      <w:r>
        <w:t>Résumé :</w:t>
      </w:r>
    </w:p>
    <w:p>
      <w:r>
        <w:t>dans le cadre du programme de biosurveillance du golfe d'annaba (nord-est d'algérie), cette présente étude avait pour objectif principal d'apprécier l'état de santé des petits fonds côtiers du littoral d'annaba soumis à différentes sources de pollution (plage joinoville, port d'annaba et plage la caroube) au moyen de la transplantation des moules brunes perna perna (linnaeus, 1758) pendant une période de 12 semaines (juin 2017 - août 2017). le matériel biologique (p. perna), a été prélevé de la plage lahnaya, une station supposée être éloignée de toute source de pollution directe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