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 et unicité des solutions d'équations différentielles fractionnaires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Dida; Ridha/ Laskri, Yamina/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équations différentielles fractionnaires/ équation de pantographe/ éspace de banach pondéré/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cette thèse, notre principal objectif réside dans l’exploration des solutions posi- tives et des premières implications découlant de leur existence et de leur unicité dans le contexte d’une équation différentielle pantographe fractionnaire et nous nous intéressons également à l’étude de la stabitilité d’un problème de pantographe fractionnaire. Cette équation fait usage de dérivées fractionnaires de Caputo avec un noyau dépendant d’une fonction strictement croissante désignée par ? (abrégée en ?-Caputo). Ces opérateurs fractionnaires à noyau dépendant de la fonction ? ont la capacité de regrouper et de généraliser divers types d’opérateurs fractionnaires, tels que Riemann-Liouville, Caputo, Hadamard, et d’autres.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