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unicité des solutions d'équations différentielles fractionnaires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Dida; Ridha/ Laskri, Yamina/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équations différentielles fractionnaires/ équation de pantographe/ éspace de banach pondéré/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notre principal objectif réside dans l’exploration des solutions posi- tives et des premières implications découlant de leur existence et de leur unicité dans le contexte d’une équation différentielle pantographe fractionnaire et nous nous intéressons également à l’étude de la stabitilité d’un problème de pantographe fractionnaire. Cette équation fait usage de dérivées fractionnaires de Caputo avec un noyau dépendant d’une fonction strictement croissante désignée par ? (abrégée en ?-Caputo). Ces opérateurs fractionnaires à noyau dépendant de la fonction ? ont la capacité de regrouper et de généraliser divers types d’opérateurs fractionnaires, tels que Riemann-Liouville, Caputo, Hadamard, et d’autres.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