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d'une nouvelle serie de dioxydes d'oxathiadiadiazepane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Badji Mokhtar/ Boufas,Wahida/ Regaini, Zine/ </w:t>
            </w:r>
          </w:p>
        </w:tc>
      </w:tr>
      <w:tr>
        <w:trPr>
          <w:trHeight w:val="567"/>
        </w:trPr>
        <w:tc>
          <w:tcPr>
            <w:tcW w:type="dxa" w:w="3000"/>
          </w:tcPr>
          <w:p>
            <w:r>
              <w:t>Nombre de Pages</w:t>
            </w:r>
          </w:p>
        </w:tc>
        <w:tc>
          <w:tcPr>
            <w:tcW w:type="dxa" w:w="7000"/>
          </w:tcPr>
          <w:p>
            <w:r>
              <w:t>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carboxylsulfamide/ Isocyanante  de chlorosulfonyle/ </w:t>
            </w:r>
          </w:p>
        </w:tc>
      </w:tr>
    </w:tbl>
    <w:p>
      <w:pPr>
        <w:pStyle w:val="Heading3"/>
      </w:pPr>
      <w:r>
        <w:t>Résumé :</w:t>
      </w:r>
    </w:p>
    <w:p>
      <w:r>
        <w:t>Dans ce travail, nous avons décrit la synthèse d’une nouvelle série de 1,4,3,5- oxathiadiazépane 4,4-dioxydes renfermant le motif sulfamide dérivés d’aminoacides (Lprolet sarcosine). La synthèse des dioxydes d’oxathiadiazépanes a été réalisée à partir d’aminoacide et l’isocyanate de chlorosulfonyle dans une réaction de carbamoylation et sulfamoylation pour</w:t>
        <w:br/>
        <w:br/>
        <w:t>accéder aux carboxylsulfamides, ces derniers subissent une réduction régiospécifique en</w:t>
        <w:br/>
        <w:br/>
        <w:t>aminoalcools et l’étape finale est une condensation entre les aminoalcools et les aldéhydes. Ces hétérocycles jouent un rôle remarquable en synthèse organique. Ce sont des analogues sulfonés d’oxadiazépinones qui sont utilisés en synthèse asymétrique comme inducteur de chiralité. ces nouveaux hétérocycles synthétisés laissent présager d’intéressantes perspectives sur les plans chimique et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