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du composé NiAl par la méthode conventionnelle, SHS et explosion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Aroussi; Soumia/ Ali Rachedi, Mahieddine/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diffraction de rayons X/ broyage haute énergie/ alliages Ni50Al50/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l'élaboration par différentes méthodes, combustion autopropagée et frittage, activé mécaniquement, de l'alliage binaire Ni50Al50 à partir de poudres</w:t>
        <w:br/>
        <w:br/>
        <w:t>élémentaires de nickel et d'aluminium. La caractérisation des échantillons obtenues a été</w:t>
        <w:br/>
        <w:br/>
        <w:t>réalisée par microscopie électronique à balayage (MEB) et diffraction de rayons X (DRX).</w:t>
        <w:br/>
        <w:br/>
        <w:t>L'évolution morphologique des échantillons du mélange Ni50Al50, réalisée par la</w:t>
        <w:br/>
        <w:br/>
        <w:t>méthode SHS avec l'augmentation du temps de broyage, montre la coexistence de deux</w:t>
        <w:br/>
        <w:br/>
        <w:t>phases avec des différentes tailles. L'échantillon broyé 10 h présente une structure très fine</w:t>
        <w:br/>
        <w:br/>
        <w:t>due à la combinaison de l'activation mécanique à la vitesse de refroidissement importante</w:t>
        <w:br/>
        <w:br/>
        <w:t>induite par faible section de l'échantillon.</w:t>
        <w:br/>
        <w:br/>
        <w:t>L'affinement de Rietveld des diagrammes de diffraction des rayons X révèle la</w:t>
        <w:br/>
        <w:br/>
        <w:t>formation de deux phases B-NiAl et Y'-Ni3Al composés intermétalliques ont été synthétisés</w:t>
        <w:br/>
        <w:br/>
        <w:t>par la synthèse par combustion de volume activé mécaniquement (MASHS). Une seule phase</w:t>
        <w:br/>
        <w:br/>
        <w:t>B-NiAl a été formée par le processus de frittage activé mécaniquement (M2AP). L'analyse a</w:t>
        <w:br/>
        <w:br/>
        <w:t>révélé l'absence de toute réaction entre les poudres élémentaires Ni et Al. Il est également</w:t>
        <w:br/>
        <w:br/>
        <w:t>observé un affinement de la taille de ses cristallites, qui atteint une valeur de l'ordre de 43 nm,</w:t>
        <w:br/>
        <w:br/>
        <w:t>et une augmentation du taux moyen de microdéformations jusqu'à une valeur de l'ordre de</w:t>
        <w:br/>
        <w:br/>
        <w:t>0.26 %, réalisée par la méthode SHS après 10 h de broyage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