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Syntese énantiosélective d'alcools hétérocycliques par dédoublement cinétique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Boukachabia, Mourad/ Universite Badji Mokhter/ Zouioueche, Louisa/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lipase/ cinétique/ dédoublement/ </w:t>
            </w:r>
          </w:p>
        </w:tc>
      </w:tr>
    </w:tbl>
    <w:p>
      <w:pPr>
        <w:pStyle w:val="Heading3"/>
      </w:pPr>
      <w:r>
        <w:t>Résumé :</w:t>
      </w:r>
    </w:p>
    <w:p>
      <w:r>
        <w:t>La séparation des énantiomères et l'obtention de molécules optiquement pures sont devenues une nécessité inéluctable dans tous les domaines : pharmaceutiques, agrochimie, et agroalimentaireLe dédoublement cinétique par acylation enzymatique d'un mélange racémique constitue l'une des méthodes les plus sollicités pour la préparation des molécules optiquement purs . Les enzymes sont des catalyseurs de nature protéiques, ils sont puissants, hautement spécifiques, et stéréosélectifs. Les hydrolases et en particuliers les lipases, sont les biocatalyseurs les plus exploitées, ils sont sélectifs et simples d'utilisation Les alcools hétérocycliques optiquement purs présentent un intérêt important enhimieharmaceutique, dans le domaine des aromes ou en agrochimie .  Nous avons étudié l'effet de la nature d'un hétéroatome sur la réactivité et la sélectivité enzymatique dans une réaction de dédoublement cinétique de divers alcools hétérocycliques chiraux, le thiochroman-4-ol, le chroman-4-ol, et la flavanol avec différentes lipases. Les résultats font apparaitre un effet important de la nature de la lipase et de celle de l'agent acylant dans la réaction de dédoublement cinétique enzymatique avec ces substrats, les conversions varient de (1%&lt; C&lt; 81%) et les sélectivités de (1&lt; E&lt; 10000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