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materiaux céramiques de types alumine et zircone par l'indentation vickers et par la courbe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Rihia; Ghani/ Bouras, Seddik/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 mécanique/ l'énergie de rupture/ contrainte critique/ </w:t>
            </w:r>
          </w:p>
        </w:tc>
      </w:tr>
    </w:tbl>
    <w:p>
      <w:pPr>
        <w:pStyle w:val="Heading3"/>
      </w:pPr>
      <w:r>
        <w:t>Résumé :</w:t>
      </w:r>
    </w:p>
    <w:p>
      <w:r>
        <w:t>La caractérisation mécanique des matériaux céramiques se fait essentiellement à l'aide de la connaissance de l'énergie de rupture (énergie de surface), et de la ténacité (facteur d'intensité de contrainte critique).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