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Extraxtion du zinc et de l'argent des boues rejetées au niveau du filtres rotatif de l'usine d'electrolyse de zinc de ghazaouet.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Bendraoua; Abdelaziz/ Univérsite De Annaba/ Boumahraz, M./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zinc/ argent/ </w:t>
            </w:r>
          </w:p>
        </w:tc>
      </w:tr>
    </w:tbl>
    <w:p>
      <w:pPr>
        <w:pStyle w:val="Heading3"/>
      </w:pPr>
      <w:r>
        <w:t>Résumé :</w:t>
      </w:r>
    </w:p>
    <w:p>
      <w:r>
        <w:t>l'épuisement progressif des matiéres premieres la dependance des pays industrialisés vis a vis des pays fournisseurs et les problemes de pollution accasionnés par les rejets industriels ont contritbues à une nouvelle dynamique politico -economique la recherche d'une certaine d'une certaine indépendance vis a vis des matieres importées impose le recours  aux procédes hydrommmmmmétallurgiques permettant d'envisager simultanement l'exploitation la separation et la et larécuperation des prouduits chimiques de bese avec un prix de revient relativement bas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