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écologique des peuplements forestiers des zones humides dans les régions de skikda  annaba et el tarf nord est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Belouahem; Abed Djamila/ Belair, G/ Université Badji Mokhtar/ </w:t>
            </w:r>
          </w:p>
        </w:tc>
      </w:tr>
      <w:tr>
        <w:trPr>
          <w:trHeight w:val="567"/>
        </w:trPr>
        <w:tc>
          <w:tcPr>
            <w:tcW w:type="dxa" w:w="3000"/>
          </w:tcPr>
          <w:p>
            <w:r>
              <w:t>Nombre de Pages</w:t>
            </w:r>
          </w:p>
        </w:tc>
        <w:tc>
          <w:tcPr>
            <w:tcW w:type="dxa" w:w="7000"/>
          </w:tcPr>
          <w:p>
            <w:r>
              <w:t>252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zones humides/ environnement/ écosystème/ biodiversité/ alnus/ classifications/ tourbière/ </w:t>
            </w:r>
          </w:p>
        </w:tc>
      </w:tr>
    </w:tbl>
    <w:p>
      <w:pPr>
        <w:pStyle w:val="Heading3"/>
      </w:pPr>
      <w:r>
        <w:t>Résumé :</w:t>
      </w:r>
    </w:p>
    <w:p>
      <w:r>
        <w:t>La numidie rassemble un vaste ensemble de zones humides réparties en deux complexes, celui d'annaba el kala et celui de guerbès senhadja. ces deux complexes humides abritent des aulnaies glutineuses qui ont fait l'objet d'une étude phytoécologique sur une période de 15 ans. durant cette étude, 35 sites inexplorés pour la plupart ont été visités dans des conditions de travail souvent difficiles. l'étude réalisée révèle que ces habitats d'affinité septentrionale présentent une très grande richesse spécifique et des structures complexes qui plaident pour leur origine ancienne. sur le plan phytosociologique, elles sont rattachées principalement à deux syntaxa  le campanulo alatae alnenion glutinosae aulnaies riveraines et le rusco hypophylli alnetum glutinosae aulnaies marécageuses. par ailleurs, les deux faciès alnus glutinosa en association avec quercus canariensis et glutinosa en association avec nerium oleander prennent une place considérable dans les stations étudiées. l'état de dégradation de ces aulnaies et leur dynamique régressive, observées au cours des 15 années de l'étude, révèlent leur statut extrêmement précaire et leur déclin rapide sous l'influence de perturbations anthropiques incontrôlées défrichement, incendies, drainage, pollution au vu de leur importance écologique, historique et patrimoniale, ces écosystèmes particuliers du bassin méditerranéens, doivent rapidement faire l'objet de mesures de protection, dans le but d'assurer la pérennité des cortèges floristiques exceptionnels qui les constituent.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