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la theorie des moments pour le calcul de la resolution en chromatographie liquide haute performance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Boukhalfa; Ahlem/ Université Badji Mokhtar/ Rebbani, N./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metaux lourds/ mode isochratique/ </w:t>
            </w:r>
          </w:p>
        </w:tc>
      </w:tr>
    </w:tbl>
    <w:p>
      <w:pPr>
        <w:pStyle w:val="Heading3"/>
      </w:pPr>
      <w:r>
        <w:t>Résumé :</w:t>
      </w:r>
    </w:p>
    <w:p>
      <w:r>
        <w:t>La séparation et l' identification des métaux lourds Pb, Zn, Ni,Co, Cu ont été réalisées par chromatographie liquide haute performance travaillant en mode isochratique en utilisant deux colonnes à phases inverses greffées C8 et C 18. Les conditions optimales d'analyses ont été détérminées par spectrophotométrie. Les conditions optimales d'analyses ont été  déterminées par spectrophotométrie. Les séparations ont été réalisées en complexant au préalable les métaux (détection UV-visible) en utilisant tour à tour comme ligands: la 2,4- pyridyl azo résorcinol,l le xylénol orange et chrome azurol S. Les résolutions entre les pics ont été calculées par la méthode classique et en utilisant la théorie des moments. Les valeurs des résolutions obtenues par la théorie des moments reflètent mieux les séparations observées sur les chromatogrammes.Les coefficients de Pearson ont également été déterminés à l'aide de la théorie des moments pour accepter ou rejeter l'hypothèse de normalité de nos profils de concentrations. Les résultats suggèrent que le faible écart entre les valeurs des résolutions calculées par les deux méthodes pourrait être dû au chevauchement des pics.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