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Pharmacomodulation du model benzoxazinonique par la structure 2-amino-4,6-dimethylpyridine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Souad/ Université Badji Mokhtar/ Liacha, M./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normolipémiants/ pharmacomodulation/ hypocholestérolémia/ </w:t>
            </w:r>
          </w:p>
        </w:tc>
      </w:tr>
    </w:tbl>
    <w:p>
      <w:pPr>
        <w:pStyle w:val="Heading3"/>
      </w:pPr>
      <w:r>
        <w:t>Résumé :</w:t>
      </w:r>
    </w:p>
    <w:p>
      <w:r>
        <w:t>Le travail réalisé dans ce mémoire est porté sur la pharmacomodulation des  dérivés de la benzoxazinone, qui est un précurseur potentiel des fibrates, par l'amine 2-amino-4,6-diméthylpyridine au sein d'une  structure de type  amide.</w:t>
        <w:br/>
        <w:br/>
        <w:t>Nous avons également étudié l'influence de la nature de la chaîne carbonée séparant les deux pharmacophores (synthèse de benzamide et butanamide), comme un autre élément de pharmacomodulation, ainsi que la position de ce même élément  sur l'hétérocycle benzoxazinonique en préparant  les (benzoxazinon-4-yl) acétamides correspondants.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