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Mise au point d'une membrane liquide émulsionnée capable d'extraire le cr vi en solution aqueuse et étude de sa réduction en cr iii.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Frites; Mourad/ Samar, Med Elhadi/ Université Badji Mokhtar/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concentration initiale / optimisant les différents / membrane liquide / </w:t>
            </w:r>
          </w:p>
        </w:tc>
      </w:tr>
    </w:tbl>
    <w:p>
      <w:pPr>
        <w:pStyle w:val="Heading3"/>
      </w:pPr>
      <w:r>
        <w:t>Résumé :</w:t>
      </w:r>
    </w:p>
    <w:p>
      <w:r>
        <w:t>Le but de ce travail est l'étude réduire la mobilité et la toxicité du cr vi en solution aqueuse en utilisant deux techniques l'extraction par membrane liquide émulsionnée et la réduction chimique du cr vi en cr iii qui est moins toxique.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