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abeilles domestiques apis mellifera dans la région de jijel et impact</w:t>
        <w:tab/>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Bouzeraa; Houda/ Universite BADJI / Achou, M/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apis mellifera/ morphométrie/ adn mitochondrial/ évolution moléculaire/ biomarqueurs/ région intergénique coicoii / </w:t>
            </w:r>
          </w:p>
        </w:tc>
      </w:tr>
    </w:tbl>
    <w:p>
      <w:pPr>
        <w:pStyle w:val="Heading3"/>
      </w:pPr>
      <w:r>
        <w:t>Résumé :</w:t>
      </w:r>
    </w:p>
    <w:p>
      <w:r>
        <w:t>Dans cette étude nous avons utilisé l'abeille domestique apis mellifera (linnaeus, 1758) comme espèce modèle. une étude biométrique a été réalisée sur des abeilles ouvrières domestiques prélevées dans 3 sites du nord-est algérien situés dans l'étage bioclimatique tempéré humide (wilaya de jijel). sur chaque site, 23 abeilles ont été prélevées aléatoirement, ce qui représente un total de 69 abeilles. pour chaque abeille, 15 caractères morphologiques ont été mesurés en fonction de leur pouvoir discriminant et de leur signification biologique, ces caractères en question contribuent beaucoup dans la production du miel et de la cire. les moyennes des caractères morphologiques ont été analysées par des méthodes statistiques afin de déterminer le domaine de variation des populations d'abeilles. ces analyses ont révélé l'existence des différences significatives pour la plupart des caractères morphologiques entre les abeilles de l'ensemble des 3 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